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BAEA1" w14:textId="77777777" w:rsidR="00562873" w:rsidRDefault="00000000">
      <w:pPr>
        <w:spacing w:after="20"/>
        <w:jc w:val="center"/>
      </w:pPr>
      <w:r>
        <w:rPr>
          <w:noProof/>
        </w:rPr>
        <w:drawing>
          <wp:inline distT="0" distB="0" distL="0" distR="0" wp14:anchorId="6E9F6EE2" wp14:editId="756DB967">
            <wp:extent cx="628650"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628650" cy="714375"/>
                    </a:xfrm>
                    <a:prstGeom prst="rect">
                      <a:avLst/>
                    </a:prstGeom>
                  </pic:spPr>
                </pic:pic>
              </a:graphicData>
            </a:graphic>
          </wp:inline>
        </w:drawing>
      </w:r>
    </w:p>
    <w:p w14:paraId="6B570218" w14:textId="77777777" w:rsidR="00562873" w:rsidRDefault="00000000">
      <w:pPr>
        <w:jc w:val="center"/>
      </w:pPr>
      <w:r>
        <w:rPr>
          <w:rFonts w:ascii="Cambria" w:eastAsia="Cambria" w:hAnsi="Cambria" w:cs="Cambria"/>
          <w:b/>
          <w:bCs/>
          <w:color w:val="3B2E7E"/>
          <w:sz w:val="40"/>
          <w:szCs w:val="40"/>
        </w:rPr>
        <w:t>The Lab Apprenticeship</w:t>
      </w:r>
    </w:p>
    <w:p w14:paraId="03F8537D" w14:textId="77777777" w:rsidR="00562873" w:rsidRDefault="00000000">
      <w:pPr>
        <w:pBdr>
          <w:bottom w:val="single" w:sz="14" w:space="3" w:color="C13C82"/>
        </w:pBdr>
        <w:spacing w:after="60"/>
        <w:jc w:val="center"/>
      </w:pPr>
      <w:r>
        <w:rPr>
          <w:rFonts w:ascii="Cambria" w:eastAsia="Cambria" w:hAnsi="Cambria" w:cs="Cambria"/>
          <w:b/>
          <w:bCs/>
          <w:color w:val="2BB39A"/>
          <w:sz w:val="24"/>
          <w:szCs w:val="24"/>
        </w:rPr>
        <w:t>Learning Objectives</w:t>
      </w:r>
    </w:p>
    <w:tbl>
      <w:tblPr>
        <w:tblW w:w="9360" w:type="dxa"/>
        <w:tblBorders>
          <w:top w:val="single" w:sz="4" w:space="0" w:color="C9D6D2"/>
          <w:left w:val="single" w:sz="4" w:space="0" w:color="C9D6D2"/>
          <w:bottom w:val="single" w:sz="4" w:space="0" w:color="C9D6D2"/>
          <w:right w:val="single" w:sz="4" w:space="0" w:color="C9D6D2"/>
          <w:insideH w:val="single" w:sz="4" w:space="0" w:color="C9D6D2"/>
          <w:insideV w:val="single" w:sz="4" w:space="0" w:color="C9D6D2"/>
        </w:tblBorders>
        <w:tblCellMar>
          <w:left w:w="10" w:type="dxa"/>
          <w:right w:w="10" w:type="dxa"/>
        </w:tblCellMar>
        <w:tblLook w:val="0000" w:firstRow="0" w:lastRow="0" w:firstColumn="0" w:lastColumn="0" w:noHBand="0" w:noVBand="0"/>
      </w:tblPr>
      <w:tblGrid>
        <w:gridCol w:w="2560"/>
        <w:gridCol w:w="1760"/>
        <w:gridCol w:w="1360"/>
        <w:gridCol w:w="2080"/>
        <w:gridCol w:w="1600"/>
      </w:tblGrid>
      <w:tr w:rsidR="00562873" w14:paraId="6D0A50B3" w14:textId="77777777">
        <w:tblPrEx>
          <w:tblCellMar>
            <w:top w:w="0" w:type="dxa"/>
            <w:bottom w:w="0" w:type="dxa"/>
          </w:tblCellMar>
        </w:tblPrEx>
        <w:trPr>
          <w:tblHeader/>
        </w:trPr>
        <w:tc>
          <w:tcPr>
            <w:tcW w:w="2560" w:type="dxa"/>
            <w:shd w:val="clear" w:color="auto" w:fill="3B2E7E"/>
            <w:tcMar>
              <w:top w:w="60" w:type="dxa"/>
              <w:left w:w="110" w:type="dxa"/>
              <w:bottom w:w="60" w:type="dxa"/>
              <w:right w:w="110" w:type="dxa"/>
            </w:tcMar>
            <w:vAlign w:val="center"/>
          </w:tcPr>
          <w:p w14:paraId="68A7888C" w14:textId="77777777" w:rsidR="00562873" w:rsidRDefault="00000000">
            <w:r>
              <w:rPr>
                <w:b/>
                <w:bCs/>
                <w:color w:val="FFFFFF"/>
                <w:sz w:val="20"/>
                <w:szCs w:val="20"/>
              </w:rPr>
              <w:t>Provider</w:t>
            </w:r>
          </w:p>
        </w:tc>
        <w:tc>
          <w:tcPr>
            <w:tcW w:w="1760" w:type="dxa"/>
            <w:shd w:val="clear" w:color="auto" w:fill="3B2E7E"/>
            <w:tcMar>
              <w:top w:w="60" w:type="dxa"/>
              <w:left w:w="110" w:type="dxa"/>
              <w:bottom w:w="60" w:type="dxa"/>
              <w:right w:w="110" w:type="dxa"/>
            </w:tcMar>
            <w:vAlign w:val="center"/>
          </w:tcPr>
          <w:p w14:paraId="7E2E4E27" w14:textId="77777777" w:rsidR="00562873" w:rsidRDefault="00000000">
            <w:r>
              <w:rPr>
                <w:b/>
                <w:bCs/>
                <w:color w:val="FFFFFF"/>
                <w:sz w:val="20"/>
                <w:szCs w:val="20"/>
              </w:rPr>
              <w:t>Format</w:t>
            </w:r>
          </w:p>
        </w:tc>
        <w:tc>
          <w:tcPr>
            <w:tcW w:w="1360" w:type="dxa"/>
            <w:shd w:val="clear" w:color="auto" w:fill="3B2E7E"/>
            <w:tcMar>
              <w:top w:w="60" w:type="dxa"/>
              <w:left w:w="110" w:type="dxa"/>
              <w:bottom w:w="60" w:type="dxa"/>
              <w:right w:w="110" w:type="dxa"/>
            </w:tcMar>
            <w:vAlign w:val="center"/>
          </w:tcPr>
          <w:p w14:paraId="51793291" w14:textId="77777777" w:rsidR="00562873" w:rsidRDefault="00000000">
            <w:r>
              <w:rPr>
                <w:b/>
                <w:bCs/>
                <w:color w:val="FFFFFF"/>
                <w:sz w:val="20"/>
                <w:szCs w:val="20"/>
              </w:rPr>
              <w:t>Duration</w:t>
            </w:r>
          </w:p>
        </w:tc>
        <w:tc>
          <w:tcPr>
            <w:tcW w:w="2080" w:type="dxa"/>
            <w:shd w:val="clear" w:color="auto" w:fill="3B2E7E"/>
            <w:tcMar>
              <w:top w:w="60" w:type="dxa"/>
              <w:left w:w="110" w:type="dxa"/>
              <w:bottom w:w="60" w:type="dxa"/>
              <w:right w:w="110" w:type="dxa"/>
            </w:tcMar>
            <w:vAlign w:val="center"/>
          </w:tcPr>
          <w:p w14:paraId="3195BD04" w14:textId="77777777" w:rsidR="00562873" w:rsidRDefault="00000000">
            <w:r>
              <w:rPr>
                <w:b/>
                <w:bCs/>
                <w:color w:val="FFFFFF"/>
                <w:sz w:val="20"/>
                <w:szCs w:val="20"/>
              </w:rPr>
              <w:t>CM Instructional Hours</w:t>
            </w:r>
          </w:p>
        </w:tc>
        <w:tc>
          <w:tcPr>
            <w:tcW w:w="1600" w:type="dxa"/>
            <w:shd w:val="clear" w:color="auto" w:fill="3B2E7E"/>
            <w:tcMar>
              <w:top w:w="60" w:type="dxa"/>
              <w:left w:w="110" w:type="dxa"/>
              <w:bottom w:w="60" w:type="dxa"/>
              <w:right w:w="110" w:type="dxa"/>
            </w:tcMar>
            <w:vAlign w:val="center"/>
          </w:tcPr>
          <w:p w14:paraId="58812236" w14:textId="77777777" w:rsidR="00562873" w:rsidRDefault="00000000">
            <w:r>
              <w:rPr>
                <w:b/>
                <w:bCs/>
                <w:color w:val="FFFFFF"/>
                <w:sz w:val="20"/>
                <w:szCs w:val="20"/>
              </w:rPr>
              <w:t>Language</w:t>
            </w:r>
          </w:p>
        </w:tc>
      </w:tr>
      <w:tr w:rsidR="008A6EE3" w14:paraId="4699017C" w14:textId="77777777">
        <w:tblPrEx>
          <w:tblCellMar>
            <w:top w:w="0" w:type="dxa"/>
            <w:bottom w:w="0" w:type="dxa"/>
          </w:tblCellMar>
        </w:tblPrEx>
        <w:tc>
          <w:tcPr>
            <w:tcW w:w="2560" w:type="dxa"/>
            <w:shd w:val="clear" w:color="auto" w:fill="FFFFFF"/>
            <w:tcMar>
              <w:top w:w="60" w:type="dxa"/>
              <w:left w:w="110" w:type="dxa"/>
              <w:bottom w:w="60" w:type="dxa"/>
              <w:right w:w="110" w:type="dxa"/>
            </w:tcMar>
            <w:vAlign w:val="center"/>
          </w:tcPr>
          <w:p w14:paraId="3FC6D020" w14:textId="3A355DE6" w:rsidR="008A6EE3" w:rsidRDefault="008A6EE3" w:rsidP="008A6EE3">
            <w:r>
              <w:rPr>
                <w:sz w:val="20"/>
                <w:szCs w:val="20"/>
              </w:rPr>
              <w:t>The Change Curiosity Lab, LLC</w:t>
            </w:r>
          </w:p>
        </w:tc>
        <w:tc>
          <w:tcPr>
            <w:tcW w:w="1760" w:type="dxa"/>
            <w:shd w:val="clear" w:color="auto" w:fill="FFFFFF"/>
            <w:tcMar>
              <w:top w:w="60" w:type="dxa"/>
              <w:left w:w="110" w:type="dxa"/>
              <w:bottom w:w="60" w:type="dxa"/>
              <w:right w:w="110" w:type="dxa"/>
            </w:tcMar>
            <w:vAlign w:val="center"/>
          </w:tcPr>
          <w:p w14:paraId="492B2115" w14:textId="7C96D53B" w:rsidR="008A6EE3" w:rsidRDefault="008A6EE3" w:rsidP="008A6EE3">
            <w:r>
              <w:rPr>
                <w:sz w:val="20"/>
                <w:szCs w:val="20"/>
              </w:rPr>
              <w:t>Self-Paced / Blended</w:t>
            </w:r>
          </w:p>
        </w:tc>
        <w:tc>
          <w:tcPr>
            <w:tcW w:w="1360" w:type="dxa"/>
            <w:shd w:val="clear" w:color="auto" w:fill="FFFFFF"/>
            <w:tcMar>
              <w:top w:w="60" w:type="dxa"/>
              <w:left w:w="110" w:type="dxa"/>
              <w:bottom w:w="60" w:type="dxa"/>
              <w:right w:w="110" w:type="dxa"/>
            </w:tcMar>
            <w:vAlign w:val="center"/>
          </w:tcPr>
          <w:p w14:paraId="16A10B15" w14:textId="4AA3A067" w:rsidR="008A6EE3" w:rsidRDefault="008A6EE3" w:rsidP="008A6EE3">
            <w:r>
              <w:rPr>
                <w:sz w:val="20"/>
                <w:szCs w:val="20"/>
              </w:rPr>
              <w:t>8 weeks</w:t>
            </w:r>
          </w:p>
        </w:tc>
        <w:tc>
          <w:tcPr>
            <w:tcW w:w="2080" w:type="dxa"/>
            <w:shd w:val="clear" w:color="auto" w:fill="FFFFFF"/>
            <w:tcMar>
              <w:top w:w="60" w:type="dxa"/>
              <w:left w:w="110" w:type="dxa"/>
              <w:bottom w:w="60" w:type="dxa"/>
              <w:right w:w="110" w:type="dxa"/>
            </w:tcMar>
            <w:vAlign w:val="center"/>
          </w:tcPr>
          <w:p w14:paraId="3B32E00C" w14:textId="71F9560C" w:rsidR="008A6EE3" w:rsidRDefault="008A6EE3" w:rsidP="008A6EE3">
            <w:r>
              <w:rPr>
                <w:sz w:val="20"/>
                <w:szCs w:val="20"/>
              </w:rPr>
              <w:t>9 hours + 8 hours self-study/application</w:t>
            </w:r>
          </w:p>
        </w:tc>
        <w:tc>
          <w:tcPr>
            <w:tcW w:w="1600" w:type="dxa"/>
            <w:shd w:val="clear" w:color="auto" w:fill="FFFFFF"/>
            <w:tcMar>
              <w:top w:w="60" w:type="dxa"/>
              <w:left w:w="110" w:type="dxa"/>
              <w:bottom w:w="60" w:type="dxa"/>
              <w:right w:w="110" w:type="dxa"/>
            </w:tcMar>
            <w:vAlign w:val="center"/>
          </w:tcPr>
          <w:p w14:paraId="29CA07C6" w14:textId="5AAE9A59" w:rsidR="008A6EE3" w:rsidRDefault="008A6EE3" w:rsidP="008A6EE3">
            <w:r>
              <w:rPr>
                <w:sz w:val="20"/>
                <w:szCs w:val="20"/>
              </w:rPr>
              <w:t>English</w:t>
            </w:r>
          </w:p>
        </w:tc>
      </w:tr>
    </w:tbl>
    <w:p w14:paraId="76DAC19E" w14:textId="77777777" w:rsidR="00562873" w:rsidRDefault="00000000">
      <w:pPr>
        <w:spacing w:before="60" w:after="60"/>
      </w:pPr>
      <w:r>
        <w:rPr>
          <w:i/>
          <w:iCs/>
          <w:color w:val="5A5A6E"/>
          <w:sz w:val="19"/>
          <w:szCs w:val="19"/>
        </w:rPr>
        <w:t>The learning objectives below define what participants can do on completion, at the program level and within each module, mapped to the ACMP Standard for Change Management. Objectives are written as observable, demonstrable competencies at the application and creation level.</w:t>
      </w:r>
    </w:p>
    <w:p w14:paraId="4142C6DB" w14:textId="77777777" w:rsidR="00562873" w:rsidRDefault="00000000">
      <w:pPr>
        <w:pStyle w:val="Heading1"/>
        <w:spacing w:before="240" w:after="110"/>
      </w:pPr>
      <w:r>
        <w:t>Program Learning Outcomes</w:t>
      </w:r>
    </w:p>
    <w:p w14:paraId="39D38E29" w14:textId="77777777" w:rsidR="00562873" w:rsidRDefault="00000000">
      <w:pPr>
        <w:spacing w:after="120"/>
      </w:pPr>
      <w:proofErr w:type="gramStart"/>
      <w:r>
        <w:t>By</w:t>
      </w:r>
      <w:proofErr w:type="gramEnd"/>
      <w:r>
        <w:t xml:space="preserve"> the end of the </w:t>
      </w:r>
      <w:proofErr w:type="gramStart"/>
      <w:r>
        <w:t>Apprenticeship</w:t>
      </w:r>
      <w:proofErr w:type="gramEnd"/>
      <w:r>
        <w:t>, participants can:</w:t>
      </w:r>
    </w:p>
    <w:p w14:paraId="04018321" w14:textId="77777777" w:rsidR="00562873" w:rsidRDefault="00000000">
      <w:pPr>
        <w:pStyle w:val="ListParagraph"/>
        <w:numPr>
          <w:ilvl w:val="0"/>
          <w:numId w:val="2"/>
        </w:numPr>
        <w:spacing w:after="60"/>
      </w:pPr>
      <w:r>
        <w:t xml:space="preserve">Apply AI tools </w:t>
      </w:r>
      <w:proofErr w:type="gramStart"/>
      <w:r>
        <w:t>to core</w:t>
      </w:r>
      <w:proofErr w:type="gramEnd"/>
      <w:r>
        <w:t xml:space="preserve"> change management deliverables while maintaining human judgment, accuracy and quality control.</w:t>
      </w:r>
    </w:p>
    <w:p w14:paraId="4910405C" w14:textId="77777777" w:rsidR="00562873" w:rsidRDefault="00000000">
      <w:pPr>
        <w:pStyle w:val="ListParagraph"/>
        <w:numPr>
          <w:ilvl w:val="0"/>
          <w:numId w:val="2"/>
        </w:numPr>
        <w:spacing w:after="60"/>
      </w:pPr>
      <w:r>
        <w:t>Produce a portfolio of change management work products that align to the ACMP Standard for Change Management.</w:t>
      </w:r>
    </w:p>
    <w:p w14:paraId="0F81EC2E" w14:textId="77777777" w:rsidR="00562873" w:rsidRDefault="00000000">
      <w:pPr>
        <w:pStyle w:val="ListParagraph"/>
        <w:numPr>
          <w:ilvl w:val="0"/>
          <w:numId w:val="2"/>
        </w:numPr>
        <w:spacing w:after="60"/>
      </w:pPr>
      <w:r>
        <w:t>Evaluate AI-generated outputs for accuracy, bias and organizational fit before applying them to live change work.</w:t>
      </w:r>
    </w:p>
    <w:p w14:paraId="064E63A0" w14:textId="77777777" w:rsidR="00562873" w:rsidRDefault="00000000">
      <w:pPr>
        <w:pStyle w:val="ListParagraph"/>
        <w:numPr>
          <w:ilvl w:val="0"/>
          <w:numId w:val="2"/>
        </w:numPr>
        <w:spacing w:after="60"/>
      </w:pPr>
      <w:r>
        <w:t>Construct and defend a personal, reusable AI-augmentation approach for their own change management practice.</w:t>
      </w:r>
    </w:p>
    <w:p w14:paraId="0850AC79" w14:textId="77777777" w:rsidR="00562873" w:rsidRDefault="00000000">
      <w:pPr>
        <w:pStyle w:val="Heading1"/>
        <w:spacing w:before="240" w:after="110"/>
      </w:pPr>
      <w:r>
        <w:t>Module Learning Objectives</w:t>
      </w:r>
    </w:p>
    <w:p w14:paraId="19F54C0A" w14:textId="77777777" w:rsidR="00562873" w:rsidRDefault="00000000">
      <w:pPr>
        <w:pStyle w:val="Heading3"/>
        <w:spacing w:before="240" w:after="110"/>
      </w:pPr>
      <w:r>
        <w:t>Module 1 – The AI-Augmented Change Mindset</w:t>
      </w:r>
    </w:p>
    <w:p w14:paraId="7272EA4E" w14:textId="77777777" w:rsidR="00562873" w:rsidRDefault="00000000">
      <w:pPr>
        <w:spacing w:after="40"/>
      </w:pPr>
      <w:r>
        <w:t>On completion of this module, participants can:</w:t>
      </w:r>
    </w:p>
    <w:p w14:paraId="3D93A7E6" w14:textId="77777777" w:rsidR="00562873" w:rsidRDefault="00000000">
      <w:pPr>
        <w:pStyle w:val="ListParagraph"/>
        <w:numPr>
          <w:ilvl w:val="0"/>
          <w:numId w:val="2"/>
        </w:numPr>
        <w:spacing w:after="60"/>
      </w:pPr>
      <w:r>
        <w:t>Build a structured prompt framework (WHO / WHAT / WHY / HOW / WHAT NOT) tailored to their change context.</w:t>
      </w:r>
    </w:p>
    <w:p w14:paraId="649CFC3E" w14:textId="77777777" w:rsidR="00562873" w:rsidRDefault="00000000">
      <w:pPr>
        <w:pStyle w:val="ListParagraph"/>
        <w:numPr>
          <w:ilvl w:val="0"/>
          <w:numId w:val="2"/>
        </w:numPr>
        <w:spacing w:after="60"/>
      </w:pPr>
      <w:r>
        <w:t>Articulate the difference between using AI and using it well.</w:t>
      </w:r>
    </w:p>
    <w:p w14:paraId="7585C09E" w14:textId="77777777" w:rsidR="00562873" w:rsidRDefault="00000000">
      <w:pPr>
        <w:pStyle w:val="ListParagraph"/>
        <w:numPr>
          <w:ilvl w:val="0"/>
          <w:numId w:val="2"/>
        </w:numPr>
        <w:spacing w:after="60"/>
      </w:pPr>
      <w:r>
        <w:t>Identify appropriate and inappropriate AI use cases in their practice.</w:t>
      </w:r>
    </w:p>
    <w:p w14:paraId="273B7565" w14:textId="77777777" w:rsidR="00562873" w:rsidRDefault="00000000">
      <w:pPr>
        <w:spacing w:after="180"/>
      </w:pPr>
      <w:r>
        <w:rPr>
          <w:b/>
          <w:bCs/>
          <w:color w:val="3B2E7E"/>
          <w:sz w:val="20"/>
          <w:szCs w:val="20"/>
        </w:rPr>
        <w:t xml:space="preserve">ACMP Standard alignment: </w:t>
      </w:r>
      <w:r>
        <w:rPr>
          <w:i/>
          <w:iCs/>
          <w:color w:val="5A5A6E"/>
          <w:sz w:val="20"/>
          <w:szCs w:val="20"/>
        </w:rPr>
        <w:t>Foundational, supports responsible application across all knowledge domains.</w:t>
      </w:r>
    </w:p>
    <w:p w14:paraId="2F13713E" w14:textId="77777777" w:rsidR="00562873" w:rsidRDefault="00000000">
      <w:pPr>
        <w:pStyle w:val="Heading3"/>
        <w:spacing w:before="240" w:after="110"/>
      </w:pPr>
      <w:r>
        <w:t>Module 2 – Stakeholder and Readiness Intelligence</w:t>
      </w:r>
    </w:p>
    <w:p w14:paraId="17EC314A" w14:textId="77777777" w:rsidR="00562873" w:rsidRDefault="00000000">
      <w:pPr>
        <w:spacing w:after="40"/>
      </w:pPr>
      <w:r>
        <w:t>On completion of this module, participants can:</w:t>
      </w:r>
    </w:p>
    <w:p w14:paraId="5B2BAE96" w14:textId="77777777" w:rsidR="00562873" w:rsidRDefault="00000000">
      <w:pPr>
        <w:pStyle w:val="ListParagraph"/>
        <w:numPr>
          <w:ilvl w:val="0"/>
          <w:numId w:val="2"/>
        </w:numPr>
        <w:spacing w:after="60"/>
      </w:pPr>
      <w:r>
        <w:t>Produce a stakeholder analysis and readiness assessment for a change initiative using AI augmentation.</w:t>
      </w:r>
    </w:p>
    <w:p w14:paraId="35D58E01" w14:textId="77777777" w:rsidR="00562873" w:rsidRDefault="00000000">
      <w:pPr>
        <w:pStyle w:val="ListParagraph"/>
        <w:numPr>
          <w:ilvl w:val="0"/>
          <w:numId w:val="2"/>
        </w:numPr>
        <w:spacing w:after="60"/>
      </w:pPr>
      <w:r>
        <w:t>Interpret and validate AI-generated readiness intelligence, applying human judgment to an organization’s readiness, ability and capacity to change.</w:t>
      </w:r>
    </w:p>
    <w:p w14:paraId="5CB58A36" w14:textId="77777777" w:rsidR="00562873" w:rsidRDefault="00000000">
      <w:pPr>
        <w:pStyle w:val="ListParagraph"/>
        <w:numPr>
          <w:ilvl w:val="0"/>
          <w:numId w:val="2"/>
        </w:numPr>
        <w:spacing w:after="60"/>
      </w:pPr>
      <w:r>
        <w:t>Translate impact and readiness data into a decision-useful dashboard.</w:t>
      </w:r>
    </w:p>
    <w:p w14:paraId="3B842F41" w14:textId="77777777" w:rsidR="00562873" w:rsidRDefault="00000000">
      <w:pPr>
        <w:spacing w:after="180"/>
      </w:pPr>
      <w:r>
        <w:rPr>
          <w:b/>
          <w:bCs/>
          <w:color w:val="3B2E7E"/>
          <w:sz w:val="20"/>
          <w:szCs w:val="20"/>
        </w:rPr>
        <w:t xml:space="preserve">ACMP Standard alignment: </w:t>
      </w:r>
      <w:r>
        <w:rPr>
          <w:i/>
          <w:iCs/>
          <w:color w:val="5A5A6E"/>
          <w:sz w:val="20"/>
          <w:szCs w:val="20"/>
        </w:rPr>
        <w:t>Evaluating Change Impact and Organizational Readiness (anchor domain).</w:t>
      </w:r>
    </w:p>
    <w:p w14:paraId="5915B132" w14:textId="77777777" w:rsidR="00562873" w:rsidRDefault="00000000">
      <w:pPr>
        <w:pStyle w:val="Heading3"/>
        <w:spacing w:before="240" w:after="110"/>
      </w:pPr>
      <w:r>
        <w:t>Module 3 – AI-Powered Communications and Change Artifacts</w:t>
      </w:r>
    </w:p>
    <w:p w14:paraId="303BAA2D" w14:textId="77777777" w:rsidR="00562873" w:rsidRDefault="00000000">
      <w:pPr>
        <w:spacing w:after="40"/>
      </w:pPr>
      <w:r>
        <w:t>On completion of this module, participants can:</w:t>
      </w:r>
    </w:p>
    <w:p w14:paraId="7BFC401C" w14:textId="77777777" w:rsidR="00562873" w:rsidRDefault="00000000">
      <w:pPr>
        <w:pStyle w:val="ListParagraph"/>
        <w:numPr>
          <w:ilvl w:val="0"/>
          <w:numId w:val="2"/>
        </w:numPr>
        <w:spacing w:after="60"/>
      </w:pPr>
      <w:r>
        <w:lastRenderedPageBreak/>
        <w:t>Develop an audience-tailored change communication package using AI.</w:t>
      </w:r>
    </w:p>
    <w:p w14:paraId="1734621E" w14:textId="77777777" w:rsidR="00562873" w:rsidRDefault="00000000">
      <w:pPr>
        <w:pStyle w:val="ListParagraph"/>
        <w:numPr>
          <w:ilvl w:val="0"/>
          <w:numId w:val="2"/>
        </w:numPr>
        <w:spacing w:after="60"/>
      </w:pPr>
      <w:r>
        <w:t xml:space="preserve">Adapt messaging to </w:t>
      </w:r>
      <w:proofErr w:type="gramStart"/>
      <w:r>
        <w:t>distinct</w:t>
      </w:r>
      <w:proofErr w:type="gramEnd"/>
      <w:r>
        <w:t xml:space="preserve"> stakeholder audiences based on impact and readiness inputs.</w:t>
      </w:r>
    </w:p>
    <w:p w14:paraId="4FA4DAC3" w14:textId="77777777" w:rsidR="00562873" w:rsidRDefault="00000000">
      <w:pPr>
        <w:pStyle w:val="ListParagraph"/>
        <w:numPr>
          <w:ilvl w:val="0"/>
          <w:numId w:val="2"/>
        </w:numPr>
        <w:spacing w:after="60"/>
      </w:pPr>
      <w:r>
        <w:t>Apply human review to preserve accuracy, tone and organizational voice.</w:t>
      </w:r>
    </w:p>
    <w:p w14:paraId="026937B8" w14:textId="77777777" w:rsidR="00562873" w:rsidRDefault="00000000">
      <w:pPr>
        <w:spacing w:after="180"/>
      </w:pPr>
      <w:r>
        <w:rPr>
          <w:b/>
          <w:bCs/>
          <w:color w:val="3B2E7E"/>
          <w:sz w:val="20"/>
          <w:szCs w:val="20"/>
        </w:rPr>
        <w:t xml:space="preserve">ACMP Standard alignment: </w:t>
      </w:r>
      <w:r>
        <w:rPr>
          <w:i/>
          <w:iCs/>
          <w:color w:val="5A5A6E"/>
          <w:sz w:val="20"/>
          <w:szCs w:val="20"/>
        </w:rPr>
        <w:t>Developing / Executing Change Management Plans (secondary domain).</w:t>
      </w:r>
    </w:p>
    <w:p w14:paraId="198B4F42" w14:textId="77777777" w:rsidR="00562873" w:rsidRDefault="00000000">
      <w:pPr>
        <w:pStyle w:val="Heading3"/>
        <w:spacing w:before="240" w:after="110"/>
      </w:pPr>
      <w:r>
        <w:t>Module 4 – Present, Defend and Sustain</w:t>
      </w:r>
    </w:p>
    <w:p w14:paraId="106C6069" w14:textId="77777777" w:rsidR="00562873" w:rsidRDefault="00000000">
      <w:pPr>
        <w:spacing w:after="40"/>
      </w:pPr>
      <w:r>
        <w:t>On completion of this module, participants can:</w:t>
      </w:r>
    </w:p>
    <w:p w14:paraId="28BB66ED" w14:textId="77777777" w:rsidR="00562873" w:rsidRDefault="00000000">
      <w:pPr>
        <w:pStyle w:val="ListParagraph"/>
        <w:numPr>
          <w:ilvl w:val="0"/>
          <w:numId w:val="2"/>
        </w:numPr>
        <w:spacing w:after="60"/>
      </w:pPr>
      <w:r>
        <w:t>Assemble and present a portfolio of AI-augmented change management deliverables.</w:t>
      </w:r>
    </w:p>
    <w:p w14:paraId="38685037" w14:textId="77777777" w:rsidR="00562873" w:rsidRDefault="00000000">
      <w:pPr>
        <w:pStyle w:val="ListParagraph"/>
        <w:numPr>
          <w:ilvl w:val="0"/>
          <w:numId w:val="2"/>
        </w:numPr>
        <w:spacing w:after="60"/>
      </w:pPr>
      <w:r>
        <w:t>Defend their AI-augmentation choices, including value, limitations and safeguards.</w:t>
      </w:r>
    </w:p>
    <w:p w14:paraId="14DA17B6" w14:textId="77777777" w:rsidR="00562873" w:rsidRDefault="00000000">
      <w:pPr>
        <w:pStyle w:val="ListParagraph"/>
        <w:numPr>
          <w:ilvl w:val="0"/>
          <w:numId w:val="2"/>
        </w:numPr>
        <w:spacing w:after="60"/>
      </w:pPr>
      <w:r>
        <w:t>Design a sustainable plan for embedding AI into their ongoing change management practice.</w:t>
      </w:r>
    </w:p>
    <w:p w14:paraId="0DCC70C5" w14:textId="77777777" w:rsidR="00562873" w:rsidRDefault="00000000">
      <w:pPr>
        <w:spacing w:after="180"/>
      </w:pPr>
      <w:r>
        <w:rPr>
          <w:b/>
          <w:bCs/>
          <w:color w:val="3B2E7E"/>
          <w:sz w:val="20"/>
          <w:szCs w:val="20"/>
        </w:rPr>
        <w:t xml:space="preserve">ACMP Standard alignment: </w:t>
      </w:r>
      <w:r>
        <w:rPr>
          <w:i/>
          <w:iCs/>
          <w:color w:val="5A5A6E"/>
          <w:sz w:val="20"/>
          <w:szCs w:val="20"/>
        </w:rPr>
        <w:t>Consolidation and reinforcement; touches Closing the Change Effort.</w:t>
      </w:r>
    </w:p>
    <w:p w14:paraId="770EEC43" w14:textId="77777777" w:rsidR="00562873" w:rsidRDefault="00562873">
      <w:pPr>
        <w:pBdr>
          <w:bottom w:val="single" w:sz="12" w:space="1" w:color="2BB39A"/>
        </w:pBdr>
        <w:spacing w:before="40" w:after="140"/>
      </w:pPr>
    </w:p>
    <w:p w14:paraId="128AB71C" w14:textId="77777777" w:rsidR="00562873" w:rsidRDefault="00000000">
      <w:pPr>
        <w:spacing w:after="120"/>
        <w:jc w:val="center"/>
      </w:pPr>
      <w:r>
        <w:rPr>
          <w:i/>
          <w:iCs/>
          <w:color w:val="5A5A6E"/>
          <w:sz w:val="18"/>
          <w:szCs w:val="18"/>
        </w:rPr>
        <w:t>The Change Curiosity Lab, LLC  ·  The Lab Apprenticeship  ·  Learning Objectives</w:t>
      </w:r>
    </w:p>
    <w:sectPr w:rsidR="00562873">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D07A7"/>
    <w:multiLevelType w:val="hybridMultilevel"/>
    <w:tmpl w:val="6FCE9EB8"/>
    <w:lvl w:ilvl="0" w:tplc="96F6C89A">
      <w:start w:val="1"/>
      <w:numFmt w:val="bullet"/>
      <w:lvlText w:val="•"/>
      <w:lvlJc w:val="left"/>
      <w:pPr>
        <w:ind w:left="360" w:hanging="220"/>
      </w:pPr>
      <w:rPr>
        <w:color w:val="2BB39A"/>
      </w:rPr>
    </w:lvl>
    <w:lvl w:ilvl="1" w:tplc="7610D398">
      <w:numFmt w:val="decimal"/>
      <w:lvlText w:val=""/>
      <w:lvlJc w:val="left"/>
    </w:lvl>
    <w:lvl w:ilvl="2" w:tplc="28C694D6">
      <w:numFmt w:val="decimal"/>
      <w:lvlText w:val=""/>
      <w:lvlJc w:val="left"/>
    </w:lvl>
    <w:lvl w:ilvl="3" w:tplc="4EFED5D4">
      <w:numFmt w:val="decimal"/>
      <w:lvlText w:val=""/>
      <w:lvlJc w:val="left"/>
    </w:lvl>
    <w:lvl w:ilvl="4" w:tplc="A0707D40">
      <w:numFmt w:val="decimal"/>
      <w:lvlText w:val=""/>
      <w:lvlJc w:val="left"/>
    </w:lvl>
    <w:lvl w:ilvl="5" w:tplc="7C181702">
      <w:numFmt w:val="decimal"/>
      <w:lvlText w:val=""/>
      <w:lvlJc w:val="left"/>
    </w:lvl>
    <w:lvl w:ilvl="6" w:tplc="11822204">
      <w:numFmt w:val="decimal"/>
      <w:lvlText w:val=""/>
      <w:lvlJc w:val="left"/>
    </w:lvl>
    <w:lvl w:ilvl="7" w:tplc="6390EA6A">
      <w:numFmt w:val="decimal"/>
      <w:lvlText w:val=""/>
      <w:lvlJc w:val="left"/>
    </w:lvl>
    <w:lvl w:ilvl="8" w:tplc="6B2E356A">
      <w:numFmt w:val="decimal"/>
      <w:lvlText w:val=""/>
      <w:lvlJc w:val="left"/>
    </w:lvl>
  </w:abstractNum>
  <w:abstractNum w:abstractNumId="1" w15:restartNumberingAfterBreak="0">
    <w:nsid w:val="65D90E68"/>
    <w:multiLevelType w:val="hybridMultilevel"/>
    <w:tmpl w:val="CFA43C28"/>
    <w:lvl w:ilvl="0" w:tplc="1FA8F8D2">
      <w:start w:val="1"/>
      <w:numFmt w:val="bullet"/>
      <w:lvlText w:val="●"/>
      <w:lvlJc w:val="left"/>
      <w:pPr>
        <w:ind w:left="720" w:hanging="360"/>
      </w:pPr>
    </w:lvl>
    <w:lvl w:ilvl="1" w:tplc="526A3B1A">
      <w:start w:val="1"/>
      <w:numFmt w:val="bullet"/>
      <w:lvlText w:val="○"/>
      <w:lvlJc w:val="left"/>
      <w:pPr>
        <w:ind w:left="1440" w:hanging="360"/>
      </w:pPr>
    </w:lvl>
    <w:lvl w:ilvl="2" w:tplc="A60A486C">
      <w:start w:val="1"/>
      <w:numFmt w:val="bullet"/>
      <w:lvlText w:val="■"/>
      <w:lvlJc w:val="left"/>
      <w:pPr>
        <w:ind w:left="2160" w:hanging="360"/>
      </w:pPr>
    </w:lvl>
    <w:lvl w:ilvl="3" w:tplc="E6B688E8">
      <w:start w:val="1"/>
      <w:numFmt w:val="bullet"/>
      <w:lvlText w:val="●"/>
      <w:lvlJc w:val="left"/>
      <w:pPr>
        <w:ind w:left="2880" w:hanging="360"/>
      </w:pPr>
    </w:lvl>
    <w:lvl w:ilvl="4" w:tplc="AF36255C">
      <w:start w:val="1"/>
      <w:numFmt w:val="bullet"/>
      <w:lvlText w:val="○"/>
      <w:lvlJc w:val="left"/>
      <w:pPr>
        <w:ind w:left="3600" w:hanging="360"/>
      </w:pPr>
    </w:lvl>
    <w:lvl w:ilvl="5" w:tplc="B4164F6E">
      <w:start w:val="1"/>
      <w:numFmt w:val="bullet"/>
      <w:lvlText w:val="■"/>
      <w:lvlJc w:val="left"/>
      <w:pPr>
        <w:ind w:left="4320" w:hanging="360"/>
      </w:pPr>
    </w:lvl>
    <w:lvl w:ilvl="6" w:tplc="A52C1B34">
      <w:start w:val="1"/>
      <w:numFmt w:val="bullet"/>
      <w:lvlText w:val="●"/>
      <w:lvlJc w:val="left"/>
      <w:pPr>
        <w:ind w:left="5040" w:hanging="360"/>
      </w:pPr>
    </w:lvl>
    <w:lvl w:ilvl="7" w:tplc="0B4CBAB0">
      <w:start w:val="1"/>
      <w:numFmt w:val="bullet"/>
      <w:lvlText w:val="●"/>
      <w:lvlJc w:val="left"/>
      <w:pPr>
        <w:ind w:left="5760" w:hanging="360"/>
      </w:pPr>
    </w:lvl>
    <w:lvl w:ilvl="8" w:tplc="8D267608">
      <w:start w:val="1"/>
      <w:numFmt w:val="bullet"/>
      <w:lvlText w:val="●"/>
      <w:lvlJc w:val="left"/>
      <w:pPr>
        <w:ind w:left="6480" w:hanging="360"/>
      </w:pPr>
    </w:lvl>
  </w:abstractNum>
  <w:num w:numId="1" w16cid:durableId="2010061616">
    <w:abstractNumId w:val="1"/>
    <w:lvlOverride w:ilvl="0">
      <w:startOverride w:val="1"/>
    </w:lvlOverride>
  </w:num>
  <w:num w:numId="2" w16cid:durableId="176680432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873"/>
    <w:rsid w:val="003A5516"/>
    <w:rsid w:val="00562873"/>
    <w:rsid w:val="008A6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268CC"/>
  <w15:docId w15:val="{7B64841C-6BD0-4E50-8868-19EFC5AEC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0282B"/>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rFonts w:ascii="Cambria" w:eastAsia="Cambria" w:hAnsi="Cambria" w:cs="Cambria"/>
      <w:b/>
      <w:bCs/>
      <w:color w:val="3B2E7E"/>
      <w:sz w:val="26"/>
      <w:szCs w:val="26"/>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rFonts w:ascii="Cambria" w:eastAsia="Cambria" w:hAnsi="Cambria" w:cs="Cambria"/>
      <w:b/>
      <w:bCs/>
      <w:color w:val="2BB39A"/>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429</Words>
  <Characters>2504</Characters>
  <Application>Microsoft Office Word</Application>
  <DocSecurity>0</DocSecurity>
  <Lines>69</Lines>
  <Paragraphs>58</Paragraphs>
  <ScaleCrop>false</ScaleCrop>
  <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Alexandra Hartman - Agile1</cp:lastModifiedBy>
  <cp:revision>2</cp:revision>
  <dcterms:created xsi:type="dcterms:W3CDTF">2026-07-01T23:17:00Z</dcterms:created>
  <dcterms:modified xsi:type="dcterms:W3CDTF">2026-07-01T23:19:00Z</dcterms:modified>
</cp:coreProperties>
</file>